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pacing w:after="160" w:line="259" w:lineRule="auto"/>
        <w:jc w:val="center"/>
        <w:rPr>
          <w:b w:val="1"/>
          <w:bCs w:val="1"/>
          <w:sz w:val="26"/>
          <w:szCs w:val="26"/>
        </w:rPr>
      </w:pPr>
      <w:r>
        <w:rPr>
          <w:b w:val="1"/>
          <w:bCs w:val="1"/>
          <w:sz w:val="26"/>
          <w:szCs w:val="26"/>
          <w:rtl w:val="0"/>
          <w:lang w:val="en-US"/>
        </w:rPr>
        <w:t xml:space="preserve">Nous vous encourageons </w:t>
      </w:r>
      <w:r>
        <w:rPr>
          <w:b w:val="1"/>
          <w:bCs w:val="1"/>
          <w:sz w:val="26"/>
          <w:szCs w:val="26"/>
          <w:rtl w:val="0"/>
          <w:lang w:val="en-US"/>
        </w:rPr>
        <w:t xml:space="preserve">à </w:t>
      </w:r>
      <w:r>
        <w:rPr>
          <w:b w:val="1"/>
          <w:bCs w:val="1"/>
          <w:sz w:val="26"/>
          <w:szCs w:val="26"/>
          <w:rtl w:val="0"/>
          <w:lang w:val="en-US"/>
        </w:rPr>
        <w:t xml:space="preserve">inviter le plus grand nombre possible de personnes </w:t>
      </w:r>
      <w:r>
        <w:rPr>
          <w:b w:val="1"/>
          <w:bCs w:val="1"/>
          <w:sz w:val="26"/>
          <w:szCs w:val="26"/>
          <w:rtl w:val="0"/>
          <w:lang w:val="en-US"/>
        </w:rPr>
        <w:t xml:space="preserve">à </w:t>
      </w:r>
      <w:r>
        <w:rPr>
          <w:b w:val="1"/>
          <w:bCs w:val="1"/>
          <w:sz w:val="26"/>
          <w:szCs w:val="26"/>
          <w:rtl w:val="0"/>
          <w:lang w:val="en-US"/>
        </w:rPr>
        <w:t xml:space="preserve">ce webinaire opportun </w:t>
      </w:r>
    </w:p>
    <w:p>
      <w:pPr>
        <w:pStyle w:val="Body A"/>
        <w:spacing w:after="160" w:line="259" w:lineRule="auto"/>
        <w:jc w:val="center"/>
        <w:rPr>
          <w:rFonts w:ascii="Times Roman" w:cs="Times Roman" w:hAnsi="Times Roman" w:eastAsia="Times Roman"/>
          <w:b w:val="1"/>
          <w:bCs w:val="1"/>
          <w:sz w:val="22"/>
          <w:szCs w:val="22"/>
        </w:rPr>
      </w:pPr>
      <w:r>
        <w:rPr>
          <w:rFonts w:ascii="Times Roman" w:cs="Times Roman" w:hAnsi="Times Roman" w:eastAsia="Times Roman"/>
          <w:b w:val="1"/>
          <w:bCs w:val="1"/>
          <w:sz w:val="22"/>
          <w:szCs w:val="22"/>
        </w:rPr>
        <w:drawing xmlns:a="http://schemas.openxmlformats.org/drawingml/2006/main">
          <wp:inline distT="0" distB="0" distL="0" distR="0">
            <wp:extent cx="5943473" cy="3343204"/>
            <wp:effectExtent l="0" t="0" r="0" b="0"/>
            <wp:docPr id="1073741825" name="officeArt object" descr="Logos copy.jpg"/>
            <wp:cNvGraphicFramePr/>
            <a:graphic xmlns:a="http://schemas.openxmlformats.org/drawingml/2006/main">
              <a:graphicData uri="http://schemas.openxmlformats.org/drawingml/2006/picture">
                <pic:pic xmlns:pic="http://schemas.openxmlformats.org/drawingml/2006/picture">
                  <pic:nvPicPr>
                    <pic:cNvPr id="1073741825" name="Logos copy.jpg" descr="Logos copy.jpg"/>
                    <pic:cNvPicPr>
                      <a:picLocks noChangeAspect="1"/>
                    </pic:cNvPicPr>
                  </pic:nvPicPr>
                  <pic:blipFill>
                    <a:blip r:embed="rId4">
                      <a:extLst/>
                    </a:blip>
                    <a:srcRect l="0" t="0" r="0" b="0"/>
                    <a:stretch>
                      <a:fillRect/>
                    </a:stretch>
                  </pic:blipFill>
                  <pic:spPr>
                    <a:xfrm>
                      <a:off x="0" y="0"/>
                      <a:ext cx="5943473" cy="3343204"/>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46"/>
          <w:szCs w:val="46"/>
        </w:rPr>
      </w:pPr>
      <w:r>
        <w:rPr>
          <w:rFonts w:ascii="Times New Roman" w:hAnsi="Times New Roman"/>
          <w:b w:val="1"/>
          <w:bCs w:val="1"/>
          <w:sz w:val="46"/>
          <w:szCs w:val="46"/>
          <w:rtl w:val="0"/>
          <w:lang w:val="en-US"/>
        </w:rPr>
        <w:t>D</w:t>
      </w:r>
      <w:r>
        <w:rPr>
          <w:rFonts w:ascii="Times New Roman" w:hAnsi="Times New Roman" w:hint="default"/>
          <w:b w:val="1"/>
          <w:bCs w:val="1"/>
          <w:sz w:val="46"/>
          <w:szCs w:val="46"/>
          <w:rtl w:val="0"/>
          <w:lang w:val="en-US"/>
        </w:rPr>
        <w:t>é</w:t>
      </w:r>
      <w:r>
        <w:rPr>
          <w:rFonts w:ascii="Times New Roman" w:hAnsi="Times New Roman"/>
          <w:b w:val="1"/>
          <w:bCs w:val="1"/>
          <w:sz w:val="46"/>
          <w:szCs w:val="46"/>
          <w:rtl w:val="0"/>
          <w:lang w:val="en-US"/>
        </w:rPr>
        <w:t>voiler l</w:t>
      </w:r>
      <w:r>
        <w:rPr>
          <w:rFonts w:ascii="Times New Roman" w:hAnsi="Times New Roman" w:hint="default"/>
          <w:b w:val="1"/>
          <w:bCs w:val="1"/>
          <w:sz w:val="46"/>
          <w:szCs w:val="46"/>
          <w:rtl w:val="0"/>
          <w:lang w:val="en-US"/>
        </w:rPr>
        <w:t>’</w:t>
      </w:r>
      <w:r>
        <w:rPr>
          <w:rFonts w:ascii="Times New Roman" w:hAnsi="Times New Roman"/>
          <w:b w:val="1"/>
          <w:bCs w:val="1"/>
          <w:sz w:val="46"/>
          <w:szCs w:val="46"/>
          <w:rtl w:val="0"/>
          <w:lang w:val="en-US"/>
        </w:rPr>
        <w:t>H</w:t>
      </w:r>
      <w:r>
        <w:rPr>
          <w:rFonts w:ascii="Times New Roman" w:hAnsi="Times New Roman" w:hint="default"/>
          <w:b w:val="1"/>
          <w:bCs w:val="1"/>
          <w:sz w:val="46"/>
          <w:szCs w:val="46"/>
          <w:rtl w:val="0"/>
          <w:lang w:val="en-US"/>
        </w:rPr>
        <w:t>é</w:t>
      </w:r>
      <w:r>
        <w:rPr>
          <w:rFonts w:ascii="Times New Roman" w:hAnsi="Times New Roman"/>
          <w:b w:val="1"/>
          <w:bCs w:val="1"/>
          <w:sz w:val="46"/>
          <w:szCs w:val="46"/>
          <w:rtl w:val="0"/>
          <w:lang w:val="en-US"/>
        </w:rPr>
        <w:t>ritage : R</w:t>
      </w:r>
      <w:r>
        <w:rPr>
          <w:rFonts w:ascii="Times New Roman" w:hAnsi="Times New Roman" w:hint="default"/>
          <w:b w:val="1"/>
          <w:bCs w:val="1"/>
          <w:sz w:val="46"/>
          <w:szCs w:val="46"/>
          <w:rtl w:val="0"/>
          <w:lang w:val="en-US"/>
        </w:rPr>
        <w:t>é</w:t>
      </w:r>
      <w:r>
        <w:rPr>
          <w:rFonts w:ascii="Times New Roman" w:hAnsi="Times New Roman"/>
          <w:b w:val="1"/>
          <w:bCs w:val="1"/>
          <w:sz w:val="46"/>
          <w:szCs w:val="46"/>
          <w:rtl w:val="0"/>
          <w:lang w:val="en-US"/>
        </w:rPr>
        <w:t>flexions Acad</w:t>
      </w:r>
      <w:r>
        <w:rPr>
          <w:rFonts w:ascii="Times New Roman" w:hAnsi="Times New Roman" w:hint="default"/>
          <w:b w:val="1"/>
          <w:bCs w:val="1"/>
          <w:sz w:val="46"/>
          <w:szCs w:val="46"/>
          <w:rtl w:val="0"/>
          <w:lang w:val="en-US"/>
        </w:rPr>
        <w:t>é</w:t>
      </w:r>
      <w:r>
        <w:rPr>
          <w:rFonts w:ascii="Times New Roman" w:hAnsi="Times New Roman"/>
          <w:b w:val="1"/>
          <w:bCs w:val="1"/>
          <w:sz w:val="46"/>
          <w:szCs w:val="46"/>
          <w:rtl w:val="0"/>
          <w:lang w:val="en-US"/>
        </w:rPr>
        <w:t>miques sur la Double Dette d</w:t>
      </w:r>
      <w:r>
        <w:rPr>
          <w:rFonts w:ascii="Times New Roman" w:hAnsi="Times New Roman" w:hint="default"/>
          <w:b w:val="1"/>
          <w:bCs w:val="1"/>
          <w:sz w:val="46"/>
          <w:szCs w:val="46"/>
          <w:rtl w:val="0"/>
          <w:lang w:val="en-US"/>
        </w:rPr>
        <w:t>’</w:t>
      </w:r>
      <w:r>
        <w:rPr>
          <w:rFonts w:ascii="Times New Roman" w:hAnsi="Times New Roman"/>
          <w:b w:val="1"/>
          <w:bCs w:val="1"/>
          <w:sz w:val="46"/>
          <w:szCs w:val="46"/>
          <w:rtl w:val="0"/>
          <w:lang w:val="en-US"/>
        </w:rPr>
        <w:t>Ha</w:t>
      </w:r>
      <w:r>
        <w:rPr>
          <w:rFonts w:ascii="Times New Roman" w:hAnsi="Times New Roman" w:hint="default"/>
          <w:b w:val="1"/>
          <w:bCs w:val="1"/>
          <w:sz w:val="46"/>
          <w:szCs w:val="46"/>
          <w:rtl w:val="0"/>
          <w:lang w:val="en-US"/>
        </w:rPr>
        <w:t>ï</w:t>
      </w:r>
      <w:r>
        <w:rPr>
          <w:rFonts w:ascii="Times New Roman" w:hAnsi="Times New Roman"/>
          <w:b w:val="1"/>
          <w:bCs w:val="1"/>
          <w:sz w:val="46"/>
          <w:szCs w:val="46"/>
          <w:rtl w:val="0"/>
          <w:lang w:val="en-US"/>
        </w:rPr>
        <w:t>ti de 1825</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50"/>
          <w:szCs w:val="50"/>
        </w:rPr>
      </w:pPr>
      <w:r>
        <w:rPr>
          <w:rFonts w:ascii="Times Roman" w:hAnsi="Times Roman"/>
          <w:b w:val="1"/>
          <w:bCs w:val="1"/>
          <w:sz w:val="50"/>
          <w:szCs w:val="50"/>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40" w:lineRule="auto"/>
        <w:jc w:val="both"/>
        <w:rPr>
          <w:rFonts w:ascii="Times New Roman" w:cs="Times New Roman" w:hAnsi="Times New Roman" w:eastAsia="Times New Roman"/>
          <w:b w:val="1"/>
          <w:bCs w:val="1"/>
          <w:outline w:val="0"/>
          <w:color w:val="000000"/>
          <w:sz w:val="28"/>
          <w:szCs w:val="28"/>
          <w14:textFill>
            <w14:solidFill>
              <w14:srgbClr w14:val="000000"/>
            </w14:solidFill>
          </w14:textFill>
        </w:rPr>
      </w:pPr>
      <w:r>
        <w:rPr>
          <w:rFonts w:ascii="Times New Roman" w:hAnsi="Times New Roman"/>
          <w:b w:val="1"/>
          <w:bCs w:val="1"/>
          <w:outline w:val="0"/>
          <w:color w:val="000000"/>
          <w:sz w:val="28"/>
          <w:szCs w:val="28"/>
          <w:rtl w:val="0"/>
          <w:lang w:val="en-US"/>
          <w14:textFill>
            <w14:solidFill>
              <w14:srgbClr w14:val="000000"/>
            </w14:solidFill>
          </w14:textFill>
        </w:rPr>
        <w:t>Webinaire</w:t>
      </w:r>
    </w:p>
    <w:p>
      <w:pPr>
        <w:pStyle w:val="Body A"/>
        <w:spacing w:line="276" w:lineRule="auto"/>
        <w:rPr>
          <w:b w:val="1"/>
          <w:bCs w:val="1"/>
          <w:sz w:val="28"/>
          <w:szCs w:val="28"/>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r>
        <w:rPr>
          <w:rFonts w:ascii="Times New Roman" w:hAnsi="Times New Roman"/>
          <w:b w:val="1"/>
          <w:bCs w:val="1"/>
          <w:sz w:val="26"/>
          <w:szCs w:val="26"/>
          <w:rtl w:val="0"/>
          <w:lang w:val="en-US"/>
        </w:rPr>
        <w:t>Lundi 15 septembre 2025, 13h00-15h00 EDT / 13h00</w:t>
      </w:r>
      <w:r>
        <w:rPr>
          <w:rFonts w:ascii="Times New Roman" w:hAnsi="Times New Roman" w:hint="default"/>
          <w:b w:val="1"/>
          <w:bCs w:val="1"/>
          <w:sz w:val="26"/>
          <w:szCs w:val="26"/>
          <w:rtl w:val="0"/>
          <w:lang w:val="en-US"/>
        </w:rPr>
        <w:t>–</w:t>
      </w:r>
      <w:r>
        <w:rPr>
          <w:rFonts w:ascii="Times New Roman" w:hAnsi="Times New Roman"/>
          <w:b w:val="1"/>
          <w:bCs w:val="1"/>
          <w:sz w:val="26"/>
          <w:szCs w:val="26"/>
          <w:rtl w:val="0"/>
          <w:lang w:val="en-US"/>
        </w:rPr>
        <w:t>15h00 Ha</w:t>
      </w:r>
      <w:r>
        <w:rPr>
          <w:rFonts w:ascii="Times New Roman" w:hAnsi="Times New Roman" w:hint="default"/>
          <w:b w:val="1"/>
          <w:bCs w:val="1"/>
          <w:sz w:val="26"/>
          <w:szCs w:val="26"/>
          <w:rtl w:val="0"/>
          <w:lang w:val="en-US"/>
        </w:rPr>
        <w:t>ï</w:t>
      </w:r>
      <w:r>
        <w:rPr>
          <w:rFonts w:ascii="Times New Roman" w:hAnsi="Times New Roman"/>
          <w:b w:val="1"/>
          <w:bCs w:val="1"/>
          <w:sz w:val="26"/>
          <w:szCs w:val="26"/>
          <w:rtl w:val="0"/>
          <w:lang w:val="en-US"/>
        </w:rPr>
        <w:t>ti / 10h00-12h00 PDT / 11h00-13h00 MDT / 17h00-19h00 GMT / 18h00-20h00 BST / 19h00-21h00 CAT &amp; CEST / 20h00-22h00 EAT, EEST &amp; IDT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Arial" w:cs="Arial" w:hAnsi="Arial" w:eastAsia="Arial"/>
          <w:b w:val="1"/>
          <w:bCs w:val="1"/>
          <w:sz w:val="26"/>
          <w:szCs w:val="26"/>
          <w:u w:color="242424"/>
        </w:rPr>
      </w:pPr>
    </w:p>
    <w:p>
      <w:pPr>
        <w:pStyle w:val="Body"/>
        <w:spacing w:before="240" w:after="240" w:line="276" w:lineRule="auto"/>
        <w:jc w:val="both"/>
        <w:rPr>
          <w:sz w:val="26"/>
          <w:szCs w:val="26"/>
        </w:rPr>
      </w:pPr>
      <w:r>
        <w:rPr>
          <w:sz w:val="26"/>
          <w:szCs w:val="26"/>
          <w:rtl w:val="0"/>
          <w:lang w:val="fr-FR"/>
        </w:rPr>
        <w:t>Ce webinaire du Centre International pour les H</w:t>
      </w:r>
      <w:r>
        <w:rPr>
          <w:sz w:val="26"/>
          <w:szCs w:val="26"/>
          <w:rtl w:val="0"/>
          <w:lang w:val="fr-FR"/>
        </w:rPr>
        <w:t>é</w:t>
      </w:r>
      <w:r>
        <w:rPr>
          <w:sz w:val="26"/>
          <w:szCs w:val="26"/>
          <w:rtl w:val="0"/>
          <w:lang w:val="de-DE"/>
        </w:rPr>
        <w:t>ritages Multig</w:t>
      </w:r>
      <w:r>
        <w:rPr>
          <w:sz w:val="26"/>
          <w:szCs w:val="26"/>
          <w:rtl w:val="0"/>
          <w:lang w:val="fr-FR"/>
        </w:rPr>
        <w:t>é</w:t>
      </w:r>
      <w:r>
        <w:rPr>
          <w:sz w:val="26"/>
          <w:szCs w:val="26"/>
          <w:rtl w:val="0"/>
        </w:rPr>
        <w:t>n</w:t>
      </w:r>
      <w:r>
        <w:rPr>
          <w:sz w:val="26"/>
          <w:szCs w:val="26"/>
          <w:rtl w:val="0"/>
          <w:lang w:val="fr-FR"/>
        </w:rPr>
        <w:t>é</w:t>
      </w:r>
      <w:r>
        <w:rPr>
          <w:sz w:val="26"/>
          <w:szCs w:val="26"/>
          <w:rtl w:val="0"/>
          <w:lang w:val="fr-FR"/>
        </w:rPr>
        <w:t>rationnels de Traumatismes, organis</w:t>
      </w:r>
      <w:r>
        <w:rPr>
          <w:sz w:val="26"/>
          <w:szCs w:val="26"/>
          <w:rtl w:val="0"/>
          <w:lang w:val="fr-FR"/>
        </w:rPr>
        <w:t xml:space="preserve">é </w:t>
      </w:r>
      <w:r>
        <w:rPr>
          <w:sz w:val="26"/>
          <w:szCs w:val="26"/>
          <w:rtl w:val="0"/>
          <w:lang w:val="fr-FR"/>
        </w:rPr>
        <w:t>en collaboration avec le Kolektif Ayisyen Afwo-Desandan (Collectif des Afro-Descendants Ha</w:t>
      </w:r>
      <w:r>
        <w:rPr>
          <w:sz w:val="26"/>
          <w:szCs w:val="26"/>
          <w:rtl w:val="0"/>
          <w:lang w:val="nl-NL"/>
        </w:rPr>
        <w:t>ï</w:t>
      </w:r>
      <w:r>
        <w:rPr>
          <w:sz w:val="26"/>
          <w:szCs w:val="26"/>
          <w:rtl w:val="0"/>
          <w:lang w:val="fr-FR"/>
        </w:rPr>
        <w:t>tiens), la Clinique de Justice Globale de l</w:t>
      </w:r>
      <w:r>
        <w:rPr>
          <w:sz w:val="26"/>
          <w:szCs w:val="26"/>
          <w:rtl w:val="0"/>
          <w:lang w:val="fr-FR"/>
        </w:rPr>
        <w:t>’É</w:t>
      </w:r>
      <w:r>
        <w:rPr>
          <w:sz w:val="26"/>
          <w:szCs w:val="26"/>
          <w:rtl w:val="0"/>
          <w:lang w:val="fr-FR"/>
        </w:rPr>
        <w:t>cole de Droit de NYU, l</w:t>
      </w:r>
      <w:r>
        <w:rPr>
          <w:sz w:val="26"/>
          <w:szCs w:val="26"/>
          <w:rtl w:val="1"/>
        </w:rPr>
        <w:t>’</w:t>
      </w:r>
      <w:r>
        <w:rPr>
          <w:sz w:val="26"/>
          <w:szCs w:val="26"/>
          <w:rtl w:val="0"/>
          <w:lang w:val="fr-FR"/>
        </w:rPr>
        <w:t>Institut pour la Justice et la D</w:t>
      </w:r>
      <w:r>
        <w:rPr>
          <w:sz w:val="26"/>
          <w:szCs w:val="26"/>
          <w:rtl w:val="0"/>
          <w:lang w:val="fr-FR"/>
        </w:rPr>
        <w:t>é</w:t>
      </w:r>
      <w:r>
        <w:rPr>
          <w:sz w:val="26"/>
          <w:szCs w:val="26"/>
          <w:rtl w:val="0"/>
          <w:lang w:val="nl-NL"/>
        </w:rPr>
        <w:t>mocratie en Ha</w:t>
      </w:r>
      <w:r>
        <w:rPr>
          <w:sz w:val="26"/>
          <w:szCs w:val="26"/>
          <w:rtl w:val="0"/>
          <w:lang w:val="nl-NL"/>
        </w:rPr>
        <w:t>ï</w:t>
      </w:r>
      <w:r>
        <w:rPr>
          <w:sz w:val="26"/>
          <w:szCs w:val="26"/>
          <w:rtl w:val="0"/>
          <w:lang w:val="fr-FR"/>
        </w:rPr>
        <w:t>ti, et le Centre Anacaona des Droits Humains (France</w:t>
      </w:r>
      <w:r>
        <w:rPr>
          <w:sz w:val="26"/>
          <w:szCs w:val="26"/>
          <w:rtl w:val="0"/>
        </w:rPr>
        <w:t>–</w:t>
      </w:r>
      <w:r>
        <w:rPr>
          <w:sz w:val="26"/>
          <w:szCs w:val="26"/>
          <w:rtl w:val="0"/>
        </w:rPr>
        <w:t>Ha</w:t>
      </w:r>
      <w:r>
        <w:rPr>
          <w:sz w:val="26"/>
          <w:szCs w:val="26"/>
          <w:rtl w:val="0"/>
          <w:lang w:val="nl-NL"/>
        </w:rPr>
        <w:t>ï</w:t>
      </w:r>
      <w:r>
        <w:rPr>
          <w:sz w:val="26"/>
          <w:szCs w:val="26"/>
          <w:rtl w:val="0"/>
          <w:lang w:val="it-IT"/>
        </w:rPr>
        <w:t>ti), pr</w:t>
      </w:r>
      <w:r>
        <w:rPr>
          <w:sz w:val="26"/>
          <w:szCs w:val="26"/>
          <w:rtl w:val="0"/>
          <w:lang w:val="fr-FR"/>
        </w:rPr>
        <w:t>é</w:t>
      </w:r>
      <w:r>
        <w:rPr>
          <w:sz w:val="26"/>
          <w:szCs w:val="26"/>
          <w:rtl w:val="0"/>
          <w:lang w:val="it-IT"/>
        </w:rPr>
        <w:t>sentera un panel distingu</w:t>
      </w:r>
      <w:r>
        <w:rPr>
          <w:sz w:val="26"/>
          <w:szCs w:val="26"/>
          <w:rtl w:val="0"/>
          <w:lang w:val="fr-FR"/>
        </w:rPr>
        <w:t xml:space="preserve">é </w:t>
      </w:r>
      <w:r>
        <w:rPr>
          <w:sz w:val="26"/>
          <w:szCs w:val="26"/>
          <w:rtl w:val="0"/>
          <w:lang w:val="fr-FR"/>
        </w:rPr>
        <w:t>de chercheurs multidisciplinaires d</w:t>
      </w:r>
      <w:r>
        <w:rPr>
          <w:sz w:val="26"/>
          <w:szCs w:val="26"/>
          <w:rtl w:val="1"/>
        </w:rPr>
        <w:t>’</w:t>
      </w:r>
      <w:r>
        <w:rPr>
          <w:sz w:val="26"/>
          <w:szCs w:val="26"/>
          <w:rtl w:val="0"/>
          <w:lang w:val="it-IT"/>
        </w:rPr>
        <w:t>origine ha</w:t>
      </w:r>
      <w:r>
        <w:rPr>
          <w:sz w:val="26"/>
          <w:szCs w:val="26"/>
          <w:rtl w:val="0"/>
          <w:lang w:val="nl-NL"/>
        </w:rPr>
        <w:t>ï</w:t>
      </w:r>
      <w:r>
        <w:rPr>
          <w:sz w:val="26"/>
          <w:szCs w:val="26"/>
          <w:rtl w:val="0"/>
          <w:lang w:val="fr-FR"/>
        </w:rPr>
        <w:t>tienne, sp</w:t>
      </w:r>
      <w:r>
        <w:rPr>
          <w:sz w:val="26"/>
          <w:szCs w:val="26"/>
          <w:rtl w:val="0"/>
          <w:lang w:val="fr-FR"/>
        </w:rPr>
        <w:t>é</w:t>
      </w:r>
      <w:r>
        <w:rPr>
          <w:sz w:val="26"/>
          <w:szCs w:val="26"/>
          <w:rtl w:val="0"/>
          <w:lang w:val="fr-FR"/>
        </w:rPr>
        <w:t>cialis</w:t>
      </w:r>
      <w:r>
        <w:rPr>
          <w:sz w:val="26"/>
          <w:szCs w:val="26"/>
          <w:rtl w:val="0"/>
          <w:lang w:val="fr-FR"/>
        </w:rPr>
        <w:t>é</w:t>
      </w:r>
      <w:r>
        <w:rPr>
          <w:sz w:val="26"/>
          <w:szCs w:val="26"/>
          <w:rtl w:val="0"/>
          <w:lang w:val="fr-FR"/>
        </w:rPr>
        <w:t xml:space="preserve">s en histoire, sociologie, </w:t>
      </w:r>
      <w:r>
        <w:rPr>
          <w:sz w:val="26"/>
          <w:szCs w:val="26"/>
          <w:rtl w:val="0"/>
          <w:lang w:val="fr-FR"/>
        </w:rPr>
        <w:t>é</w:t>
      </w:r>
      <w:r>
        <w:rPr>
          <w:sz w:val="26"/>
          <w:szCs w:val="26"/>
          <w:rtl w:val="0"/>
          <w:lang w:val="fr-FR"/>
        </w:rPr>
        <w:t>conomie et droit. Ils s</w:t>
      </w:r>
      <w:r>
        <w:rPr>
          <w:sz w:val="26"/>
          <w:szCs w:val="26"/>
          <w:rtl w:val="1"/>
        </w:rPr>
        <w:t>’</w:t>
      </w:r>
      <w:r>
        <w:rPr>
          <w:sz w:val="26"/>
          <w:szCs w:val="26"/>
          <w:rtl w:val="0"/>
          <w:lang w:val="fr-FR"/>
        </w:rPr>
        <w:t>engageront dans un discours critique et historiquement ancr</w:t>
      </w:r>
      <w:r>
        <w:rPr>
          <w:sz w:val="26"/>
          <w:szCs w:val="26"/>
          <w:rtl w:val="0"/>
          <w:lang w:val="fr-FR"/>
        </w:rPr>
        <w:t xml:space="preserve">é </w:t>
      </w:r>
      <w:r>
        <w:rPr>
          <w:sz w:val="26"/>
          <w:szCs w:val="26"/>
          <w:rtl w:val="0"/>
          <w:lang w:val="fr-FR"/>
        </w:rPr>
        <w:t>sur l</w:t>
      </w:r>
      <w:r>
        <w:rPr>
          <w:sz w:val="26"/>
          <w:szCs w:val="26"/>
          <w:rtl w:val="1"/>
        </w:rPr>
        <w:t>’</w:t>
      </w:r>
      <w:r>
        <w:rPr>
          <w:sz w:val="26"/>
          <w:szCs w:val="26"/>
          <w:rtl w:val="0"/>
        </w:rPr>
        <w:t>indemnit</w:t>
      </w:r>
      <w:r>
        <w:rPr>
          <w:sz w:val="26"/>
          <w:szCs w:val="26"/>
          <w:rtl w:val="0"/>
          <w:lang w:val="fr-FR"/>
        </w:rPr>
        <w:t xml:space="preserve">é </w:t>
      </w:r>
      <w:r>
        <w:rPr>
          <w:sz w:val="26"/>
          <w:szCs w:val="26"/>
          <w:rtl w:val="0"/>
          <w:lang w:val="fr-FR"/>
        </w:rPr>
        <w:t>de 1825, commun</w:t>
      </w:r>
      <w:r>
        <w:rPr>
          <w:sz w:val="26"/>
          <w:szCs w:val="26"/>
          <w:rtl w:val="0"/>
          <w:lang w:val="fr-FR"/>
        </w:rPr>
        <w:t>é</w:t>
      </w:r>
      <w:r>
        <w:rPr>
          <w:sz w:val="26"/>
          <w:szCs w:val="26"/>
          <w:rtl w:val="0"/>
          <w:lang w:val="fr-FR"/>
        </w:rPr>
        <w:t>ment appel</w:t>
      </w:r>
      <w:r>
        <w:rPr>
          <w:sz w:val="26"/>
          <w:szCs w:val="26"/>
          <w:rtl w:val="0"/>
          <w:lang w:val="fr-FR"/>
        </w:rPr>
        <w:t>é</w:t>
      </w:r>
      <w:r>
        <w:rPr>
          <w:sz w:val="26"/>
          <w:szCs w:val="26"/>
          <w:rtl w:val="0"/>
          <w:lang w:val="fr-FR"/>
        </w:rPr>
        <w:t xml:space="preserve">e la </w:t>
      </w:r>
      <w:r>
        <w:rPr>
          <w:sz w:val="26"/>
          <w:szCs w:val="26"/>
          <w:rtl w:val="0"/>
          <w:lang w:val="fr-FR"/>
        </w:rPr>
        <w:t xml:space="preserve">« </w:t>
      </w:r>
      <w:r>
        <w:rPr>
          <w:sz w:val="26"/>
          <w:szCs w:val="26"/>
          <w:rtl w:val="0"/>
          <w:lang w:val="fr-FR"/>
        </w:rPr>
        <w:t xml:space="preserve">double dette </w:t>
      </w:r>
      <w:r>
        <w:rPr>
          <w:sz w:val="26"/>
          <w:szCs w:val="26"/>
          <w:rtl w:val="0"/>
          <w:lang w:val="it-IT"/>
        </w:rPr>
        <w:t xml:space="preserve">» </w:t>
      </w:r>
      <w:r>
        <w:rPr>
          <w:sz w:val="26"/>
          <w:szCs w:val="26"/>
          <w:rtl w:val="0"/>
          <w:lang w:val="fr-FR"/>
        </w:rPr>
        <w:t>(une charge financi</w:t>
      </w:r>
      <w:r>
        <w:rPr>
          <w:sz w:val="26"/>
          <w:szCs w:val="26"/>
          <w:rtl w:val="0"/>
          <w:lang w:val="it-IT"/>
        </w:rPr>
        <w:t>è</w:t>
      </w:r>
      <w:r>
        <w:rPr>
          <w:sz w:val="26"/>
          <w:szCs w:val="26"/>
          <w:rtl w:val="0"/>
          <w:lang w:val="it-IT"/>
        </w:rPr>
        <w:t>re impos</w:t>
      </w:r>
      <w:r>
        <w:rPr>
          <w:sz w:val="26"/>
          <w:szCs w:val="26"/>
          <w:rtl w:val="0"/>
          <w:lang w:val="fr-FR"/>
        </w:rPr>
        <w:t>é</w:t>
      </w:r>
      <w:r>
        <w:rPr>
          <w:sz w:val="26"/>
          <w:szCs w:val="26"/>
          <w:rtl w:val="0"/>
          <w:lang w:val="fr-FR"/>
        </w:rPr>
        <w:t>e par la France pour indemniser les anciens colons et reconna</w:t>
      </w:r>
      <w:r>
        <w:rPr>
          <w:sz w:val="26"/>
          <w:szCs w:val="26"/>
          <w:rtl w:val="0"/>
        </w:rPr>
        <w:t>î</w:t>
      </w:r>
      <w:r>
        <w:rPr>
          <w:sz w:val="26"/>
          <w:szCs w:val="26"/>
          <w:rtl w:val="0"/>
          <w:lang w:val="fr-FR"/>
        </w:rPr>
        <w:t>tre l</w:t>
      </w:r>
      <w:r>
        <w:rPr>
          <w:sz w:val="26"/>
          <w:szCs w:val="26"/>
          <w:rtl w:val="1"/>
        </w:rPr>
        <w:t>’</w:t>
      </w:r>
      <w:r>
        <w:rPr>
          <w:sz w:val="26"/>
          <w:szCs w:val="26"/>
          <w:rtl w:val="0"/>
        </w:rPr>
        <w:t>ind</w:t>
      </w:r>
      <w:r>
        <w:rPr>
          <w:sz w:val="26"/>
          <w:szCs w:val="26"/>
          <w:rtl w:val="0"/>
          <w:lang w:val="fr-FR"/>
        </w:rPr>
        <w:t>é</w:t>
      </w:r>
      <w:r>
        <w:rPr>
          <w:sz w:val="26"/>
          <w:szCs w:val="26"/>
          <w:rtl w:val="0"/>
          <w:lang w:val="fr-FR"/>
        </w:rPr>
        <w:t>pendance d</w:t>
      </w:r>
      <w:r>
        <w:rPr>
          <w:sz w:val="26"/>
          <w:szCs w:val="26"/>
          <w:rtl w:val="1"/>
        </w:rPr>
        <w:t>’</w:t>
      </w:r>
      <w:r>
        <w:rPr>
          <w:sz w:val="26"/>
          <w:szCs w:val="26"/>
          <w:rtl w:val="0"/>
        </w:rPr>
        <w:t>Ha</w:t>
      </w:r>
      <w:r>
        <w:rPr>
          <w:sz w:val="26"/>
          <w:szCs w:val="26"/>
          <w:rtl w:val="0"/>
          <w:lang w:val="nl-NL"/>
        </w:rPr>
        <w:t>ï</w:t>
      </w:r>
      <w:r>
        <w:rPr>
          <w:sz w:val="26"/>
          <w:szCs w:val="26"/>
          <w:rtl w:val="0"/>
          <w:lang w:val="it-IT"/>
        </w:rPr>
        <w:t>ti), qu</w:t>
      </w:r>
      <w:r>
        <w:rPr>
          <w:sz w:val="26"/>
          <w:szCs w:val="26"/>
          <w:rtl w:val="1"/>
        </w:rPr>
        <w:t>’</w:t>
      </w:r>
      <w:r>
        <w:rPr>
          <w:sz w:val="26"/>
          <w:szCs w:val="26"/>
          <w:rtl w:val="0"/>
        </w:rPr>
        <w:t>Ha</w:t>
      </w:r>
      <w:r>
        <w:rPr>
          <w:sz w:val="26"/>
          <w:szCs w:val="26"/>
          <w:rtl w:val="0"/>
          <w:lang w:val="nl-NL"/>
        </w:rPr>
        <w:t>ï</w:t>
      </w:r>
      <w:r>
        <w:rPr>
          <w:sz w:val="26"/>
          <w:szCs w:val="26"/>
          <w:rtl w:val="0"/>
          <w:lang w:val="it-IT"/>
        </w:rPr>
        <w:t xml:space="preserve">ti a </w:t>
      </w:r>
      <w:r>
        <w:rPr>
          <w:sz w:val="26"/>
          <w:szCs w:val="26"/>
          <w:rtl w:val="0"/>
          <w:lang w:val="fr-FR"/>
        </w:rPr>
        <w:t>é</w:t>
      </w:r>
      <w:r>
        <w:rPr>
          <w:sz w:val="26"/>
          <w:szCs w:val="26"/>
          <w:rtl w:val="0"/>
        </w:rPr>
        <w:t>t</w:t>
      </w:r>
      <w:r>
        <w:rPr>
          <w:sz w:val="26"/>
          <w:szCs w:val="26"/>
          <w:rtl w:val="0"/>
          <w:lang w:val="fr-FR"/>
        </w:rPr>
        <w:t xml:space="preserve">é </w:t>
      </w:r>
      <w:r>
        <w:rPr>
          <w:sz w:val="26"/>
          <w:szCs w:val="26"/>
          <w:rtl w:val="0"/>
          <w:lang w:val="fr-FR"/>
        </w:rPr>
        <w:t xml:space="preserve">contrainte de payer </w:t>
      </w:r>
      <w:r>
        <w:rPr>
          <w:sz w:val="26"/>
          <w:szCs w:val="26"/>
          <w:rtl w:val="0"/>
        </w:rPr>
        <w:t xml:space="preserve">à </w:t>
      </w:r>
      <w:r>
        <w:rPr>
          <w:sz w:val="26"/>
          <w:szCs w:val="26"/>
          <w:rtl w:val="0"/>
          <w:lang w:val="it-IT"/>
        </w:rPr>
        <w:t>la France.</w:t>
      </w:r>
    </w:p>
    <w:p>
      <w:pPr>
        <w:pStyle w:val="Body"/>
        <w:spacing w:before="240" w:after="240" w:line="276" w:lineRule="auto"/>
        <w:jc w:val="both"/>
        <w:rPr>
          <w:sz w:val="26"/>
          <w:szCs w:val="26"/>
          <w:u w:color="242424"/>
        </w:rPr>
      </w:pPr>
      <w:r>
        <w:rPr>
          <w:sz w:val="26"/>
          <w:szCs w:val="26"/>
          <w:rtl w:val="0"/>
          <w:lang w:val="it-IT"/>
        </w:rPr>
        <w:t>Le panel d</w:t>
      </w:r>
      <w:r>
        <w:rPr>
          <w:sz w:val="26"/>
          <w:szCs w:val="26"/>
          <w:rtl w:val="1"/>
        </w:rPr>
        <w:t>’</w:t>
      </w:r>
      <w:r>
        <w:rPr>
          <w:sz w:val="26"/>
          <w:szCs w:val="26"/>
          <w:rtl w:val="0"/>
          <w:lang w:val="fr-FR"/>
        </w:rPr>
        <w:t xml:space="preserve">experts examinera les ramifications durables et multiformes de cette dette sur les structures </w:t>
      </w:r>
      <w:r>
        <w:rPr>
          <w:sz w:val="26"/>
          <w:szCs w:val="26"/>
          <w:rtl w:val="0"/>
          <w:lang w:val="fr-FR"/>
        </w:rPr>
        <w:t>é</w:t>
      </w:r>
      <w:r>
        <w:rPr>
          <w:sz w:val="26"/>
          <w:szCs w:val="26"/>
          <w:rtl w:val="0"/>
          <w:lang w:val="fr-FR"/>
        </w:rPr>
        <w:t>conomiques, la souverainet</w:t>
      </w:r>
      <w:r>
        <w:rPr>
          <w:sz w:val="26"/>
          <w:szCs w:val="26"/>
          <w:rtl w:val="0"/>
          <w:lang w:val="fr-FR"/>
        </w:rPr>
        <w:t xml:space="preserve">é </w:t>
      </w:r>
      <w:r>
        <w:rPr>
          <w:sz w:val="26"/>
          <w:szCs w:val="26"/>
          <w:rtl w:val="0"/>
          <w:lang w:val="fr-FR"/>
        </w:rPr>
        <w:t>politique et le tissu social d</w:t>
      </w:r>
      <w:r>
        <w:rPr>
          <w:sz w:val="26"/>
          <w:szCs w:val="26"/>
          <w:rtl w:val="1"/>
        </w:rPr>
        <w:t>’</w:t>
      </w:r>
      <w:r>
        <w:rPr>
          <w:sz w:val="26"/>
          <w:szCs w:val="26"/>
          <w:rtl w:val="0"/>
        </w:rPr>
        <w:t>Ha</w:t>
      </w:r>
      <w:r>
        <w:rPr>
          <w:sz w:val="26"/>
          <w:szCs w:val="26"/>
          <w:rtl w:val="0"/>
          <w:lang w:val="nl-NL"/>
        </w:rPr>
        <w:t>ï</w:t>
      </w:r>
      <w:r>
        <w:rPr>
          <w:sz w:val="26"/>
          <w:szCs w:val="26"/>
          <w:rtl w:val="0"/>
          <w:lang w:val="fr-FR"/>
        </w:rPr>
        <w:t>ti. De plus, il contribuera aux dialogues nuanc</w:t>
      </w:r>
      <w:r>
        <w:rPr>
          <w:sz w:val="26"/>
          <w:szCs w:val="26"/>
          <w:rtl w:val="0"/>
          <w:lang w:val="fr-FR"/>
        </w:rPr>
        <w:t>é</w:t>
      </w:r>
      <w:r>
        <w:rPr>
          <w:sz w:val="26"/>
          <w:szCs w:val="26"/>
          <w:rtl w:val="0"/>
          <w:lang w:val="fr-FR"/>
        </w:rPr>
        <w:t>s et en cours sur les dimensions historiques et contemporaines des r</w:t>
      </w:r>
      <w:r>
        <w:rPr>
          <w:sz w:val="26"/>
          <w:szCs w:val="26"/>
          <w:rtl w:val="0"/>
          <w:lang w:val="fr-FR"/>
        </w:rPr>
        <w:t>é</w:t>
      </w:r>
      <w:r>
        <w:rPr>
          <w:sz w:val="26"/>
          <w:szCs w:val="26"/>
          <w:rtl w:val="0"/>
          <w:lang w:val="fr-FR"/>
        </w:rPr>
        <w:t>parations et de la gu</w:t>
      </w:r>
      <w:r>
        <w:rPr>
          <w:sz w:val="26"/>
          <w:szCs w:val="26"/>
          <w:rtl w:val="0"/>
          <w:lang w:val="fr-FR"/>
        </w:rPr>
        <w:t>é</w:t>
      </w:r>
      <w:r>
        <w:rPr>
          <w:sz w:val="26"/>
          <w:szCs w:val="26"/>
          <w:rtl w:val="0"/>
          <w:lang w:val="fr-FR"/>
        </w:rPr>
        <w:t>rison sociale, dans le contexte plus large de la justice pour le peuple ha</w:t>
      </w:r>
      <w:r>
        <w:rPr>
          <w:sz w:val="26"/>
          <w:szCs w:val="26"/>
          <w:rtl w:val="0"/>
          <w:lang w:val="nl-NL"/>
        </w:rPr>
        <w:t>ï</w:t>
      </w:r>
      <w:r>
        <w:rPr>
          <w:sz w:val="26"/>
          <w:szCs w:val="26"/>
          <w:rtl w:val="0"/>
          <w:lang w:val="fr-FR"/>
        </w:rPr>
        <w:t xml:space="preserve">tien et ses descendants </w:t>
      </w:r>
      <w:r>
        <w:rPr>
          <w:sz w:val="26"/>
          <w:szCs w:val="26"/>
          <w:rtl w:val="0"/>
        </w:rPr>
        <w:t xml:space="preserve">à </w:t>
      </w:r>
      <w:r>
        <w:rPr>
          <w:sz w:val="26"/>
          <w:szCs w:val="26"/>
          <w:rtl w:val="0"/>
          <w:lang w:val="fr-FR"/>
        </w:rPr>
        <w:t>travers le monde.</w:t>
      </w:r>
    </w:p>
    <w:p>
      <w:pPr>
        <w:pStyle w:val="Body"/>
        <w:spacing w:before="240" w:after="240" w:line="276" w:lineRule="auto"/>
        <w:rPr>
          <w:b w:val="1"/>
          <w:bCs w:val="1"/>
          <w:sz w:val="26"/>
          <w:szCs w:val="26"/>
        </w:rPr>
      </w:pPr>
      <w:r>
        <w:rPr>
          <w:b w:val="1"/>
          <w:bCs w:val="1"/>
          <w:sz w:val="26"/>
          <w:szCs w:val="26"/>
          <w:rtl w:val="0"/>
          <w:lang w:val="fr-FR"/>
        </w:rPr>
        <w:t>Une interpr</w:t>
      </w:r>
      <w:r>
        <w:rPr>
          <w:b w:val="1"/>
          <w:bCs w:val="1"/>
          <w:sz w:val="26"/>
          <w:szCs w:val="26"/>
          <w:rtl w:val="0"/>
          <w:lang w:val="fr-FR"/>
        </w:rPr>
        <w:t>é</w:t>
      </w:r>
      <w:r>
        <w:rPr>
          <w:b w:val="1"/>
          <w:bCs w:val="1"/>
          <w:sz w:val="26"/>
          <w:szCs w:val="26"/>
          <w:rtl w:val="0"/>
          <w:lang w:val="fr-FR"/>
        </w:rPr>
        <w:t>tation simultan</w:t>
      </w:r>
      <w:r>
        <w:rPr>
          <w:b w:val="1"/>
          <w:bCs w:val="1"/>
          <w:sz w:val="26"/>
          <w:szCs w:val="26"/>
          <w:rtl w:val="0"/>
          <w:lang w:val="fr-FR"/>
        </w:rPr>
        <w:t>é</w:t>
      </w:r>
      <w:r>
        <w:rPr>
          <w:b w:val="1"/>
          <w:bCs w:val="1"/>
          <w:sz w:val="26"/>
          <w:szCs w:val="26"/>
          <w:rtl w:val="0"/>
          <w:lang w:val="fr-FR"/>
        </w:rPr>
        <w:t>e sera disponible en anglais et en cr</w:t>
      </w:r>
      <w:r>
        <w:rPr>
          <w:b w:val="1"/>
          <w:bCs w:val="1"/>
          <w:sz w:val="26"/>
          <w:szCs w:val="26"/>
          <w:rtl w:val="0"/>
          <w:lang w:val="fr-FR"/>
        </w:rPr>
        <w:t>é</w:t>
      </w:r>
      <w:r>
        <w:rPr>
          <w:b w:val="1"/>
          <w:bCs w:val="1"/>
          <w:sz w:val="26"/>
          <w:szCs w:val="26"/>
          <w:rtl w:val="0"/>
          <w:lang w:val="it-IT"/>
        </w:rPr>
        <w:t>ole ha</w:t>
      </w:r>
      <w:r>
        <w:rPr>
          <w:b w:val="1"/>
          <w:bCs w:val="1"/>
          <w:sz w:val="26"/>
          <w:szCs w:val="26"/>
          <w:rtl w:val="0"/>
          <w:lang w:val="nl-NL"/>
        </w:rPr>
        <w:t>ï</w:t>
      </w:r>
      <w:r>
        <w:rPr>
          <w:b w:val="1"/>
          <w:bCs w:val="1"/>
          <w:sz w:val="26"/>
          <w:szCs w:val="26"/>
          <w:rtl w:val="0"/>
        </w:rPr>
        <w:t>tien.</w:t>
      </w:r>
    </w:p>
    <w:p>
      <w:pPr>
        <w:pStyle w:val="Default"/>
        <w:spacing w:before="0" w:line="240" w:lineRule="auto"/>
        <w:jc w:val="both"/>
        <w:rPr>
          <w:rFonts w:ascii="Times Roman" w:cs="Times Roman" w:hAnsi="Times Roman" w:eastAsia="Times Roman"/>
          <w:b w:val="1"/>
          <w:bCs w:val="1"/>
          <w:sz w:val="36"/>
          <w:szCs w:val="36"/>
        </w:rPr>
      </w:pPr>
      <w:r>
        <w:rPr>
          <w:rFonts w:ascii="Times Roman" w:hAnsi="Times Roman"/>
          <w:b w:val="1"/>
          <w:bCs w:val="1"/>
          <w:sz w:val="36"/>
          <w:szCs w:val="36"/>
          <w:rtl w:val="0"/>
          <w:lang w:val="en-US"/>
        </w:rPr>
        <w:t>Intervenants:</w:t>
      </w:r>
    </w:p>
    <w:p>
      <w:pPr>
        <w:pStyle w:val="Default"/>
        <w:spacing w:before="0" w:line="240" w:lineRule="auto"/>
        <w:jc w:val="both"/>
        <w:rPr>
          <w:rFonts w:ascii="Times Roman" w:cs="Times Roman" w:hAnsi="Times Roman" w:eastAsia="Times Roman"/>
          <w:b w:val="1"/>
          <w:bCs w:val="1"/>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Roman" w:cs="Times Roman" w:hAnsi="Times Roman" w:eastAsia="Times Roman"/>
          <w:b w:val="1"/>
          <w:bCs w:val="1"/>
          <w:sz w:val="36"/>
          <w:szCs w:val="36"/>
        </w:rPr>
        <w:drawing xmlns:a="http://schemas.openxmlformats.org/drawingml/2006/main">
          <wp:inline distT="0" distB="0" distL="0" distR="0">
            <wp:extent cx="2744984" cy="2693257"/>
            <wp:effectExtent l="0" t="0" r="0" b="0"/>
            <wp:docPr id="1073741826" name="officeArt object" descr="Dupoy.jpg"/>
            <wp:cNvGraphicFramePr/>
            <a:graphic xmlns:a="http://schemas.openxmlformats.org/drawingml/2006/main">
              <a:graphicData uri="http://schemas.openxmlformats.org/drawingml/2006/picture">
                <pic:pic xmlns:pic="http://schemas.openxmlformats.org/drawingml/2006/picture">
                  <pic:nvPicPr>
                    <pic:cNvPr id="1073741826" name="Dupoy.jpg" descr="Dupoy.jpg"/>
                    <pic:cNvPicPr>
                      <a:picLocks noChangeAspect="1"/>
                    </pic:cNvPicPr>
                  </pic:nvPicPr>
                  <pic:blipFill>
                    <a:blip r:embed="rId5">
                      <a:extLst/>
                    </a:blip>
                    <a:srcRect l="0" t="1884" r="0" b="0"/>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Dr. Alex Dupuy</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Alex Dupuy is John E. Andrus Professor of Sociology Emeritus at Wesleyan University in Middletown, CT. </w:t>
      </w:r>
      <w:r>
        <w:rPr>
          <w:rFonts w:ascii="Times New Roman" w:hAnsi="Times New Roman" w:hint="default"/>
          <w:sz w:val="26"/>
          <w:szCs w:val="26"/>
          <w:rtl w:val="0"/>
          <w:lang w:val="en-US"/>
        </w:rPr>
        <w:t> </w:t>
      </w:r>
      <w:r>
        <w:rPr>
          <w:rFonts w:ascii="Times New Roman" w:hAnsi="Times New Roman"/>
          <w:sz w:val="26"/>
          <w:szCs w:val="26"/>
          <w:rtl w:val="0"/>
          <w:lang w:val="en-US"/>
        </w:rPr>
        <w:t>An internationally recognized specialist on Haiti, he has lectured across the United States and abroad, has given interviews on local, national, and international radio and television networks, published more than three dozen articles in professional journals and anthologies, and six books, most recently</w:t>
      </w:r>
      <w:r>
        <w:rPr>
          <w:rFonts w:ascii="Times New Roman" w:hAnsi="Times New Roman" w:hint="default"/>
          <w:sz w:val="26"/>
          <w:szCs w:val="26"/>
          <w:rtl w:val="0"/>
          <w:lang w:val="en-US"/>
        </w:rPr>
        <w:t> </w:t>
      </w:r>
      <w:r>
        <w:rPr>
          <w:rFonts w:ascii="Times New Roman" w:hAnsi="Times New Roman"/>
          <w:i w:val="1"/>
          <w:iCs w:val="1"/>
          <w:sz w:val="26"/>
          <w:szCs w:val="26"/>
          <w:rtl w:val="0"/>
          <w:lang w:val="en-US"/>
        </w:rPr>
        <w:t>Haiti Since 1804: Critical Perspectives on Class, Power, and Gender</w:t>
      </w:r>
      <w:r>
        <w:rPr>
          <w:rFonts w:ascii="Times New Roman" w:hAnsi="Times New Roman"/>
          <w:sz w:val="26"/>
          <w:szCs w:val="26"/>
          <w:rtl w:val="0"/>
          <w:lang w:val="en-US"/>
        </w:rPr>
        <w: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Roman" w:cs="Times Roman" w:hAnsi="Times Roman" w:eastAsia="Times Roman"/>
          <w:b w:val="1"/>
          <w:bCs w:val="1"/>
          <w:sz w:val="36"/>
          <w:szCs w:val="3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Roman" w:cs="Times Roman" w:hAnsi="Times Roman" w:eastAsia="Times Roman"/>
          <w:b w:val="1"/>
          <w:bCs w:val="1"/>
          <w:sz w:val="36"/>
          <w:szCs w:val="36"/>
        </w:rPr>
        <w:drawing xmlns:a="http://schemas.openxmlformats.org/drawingml/2006/main">
          <wp:inline distT="0" distB="0" distL="0" distR="0">
            <wp:extent cx="2744984" cy="2693257"/>
            <wp:effectExtent l="0" t="0" r="0" b="0"/>
            <wp:docPr id="1073741827" name="officeArt object" descr="Dr M.jpg"/>
            <wp:cNvGraphicFramePr/>
            <a:graphic xmlns:a="http://schemas.openxmlformats.org/drawingml/2006/main">
              <a:graphicData uri="http://schemas.openxmlformats.org/drawingml/2006/picture">
                <pic:pic xmlns:pic="http://schemas.openxmlformats.org/drawingml/2006/picture">
                  <pic:nvPicPr>
                    <pic:cNvPr id="1073741827" name="Dr M.jpg" descr="Dr M.jpg"/>
                    <pic:cNvPicPr>
                      <a:picLocks noChangeAspect="1"/>
                    </pic:cNvPicPr>
                  </pic:nvPicPr>
                  <pic:blipFill>
                    <a:blip r:embed="rId6">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 xml:space="preserve">Professor </w:t>
      </w:r>
      <w:r>
        <w:rPr>
          <w:rFonts w:ascii="Times New Roman" w:hAnsi="Times New Roman"/>
          <w:b w:val="1"/>
          <w:bCs w:val="1"/>
          <w:sz w:val="32"/>
          <w:szCs w:val="32"/>
          <w:rtl w:val="0"/>
          <w:lang w:val="en-US"/>
        </w:rPr>
        <w:t>Marlene L. Daut</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r>
        <w:rPr>
          <w:rFonts w:ascii="Times New Roman" w:hAnsi="Times New Roman"/>
          <w:sz w:val="26"/>
          <w:szCs w:val="26"/>
          <w:rtl w:val="0"/>
          <w:lang w:val="en-US"/>
        </w:rPr>
        <w:t xml:space="preserve">A Professor of French, Black Studies, and History at Yale University. Most recently, she has authored </w:t>
      </w:r>
      <w:r>
        <w:rPr>
          <w:rFonts w:ascii="Times New Roman" w:hAnsi="Times New Roman"/>
          <w:i w:val="1"/>
          <w:iCs w:val="1"/>
          <w:sz w:val="26"/>
          <w:szCs w:val="26"/>
          <w:rtl w:val="0"/>
          <w:lang w:val="en-US"/>
        </w:rPr>
        <w:t>The First and Last King of Haiti: The Rise and Fall of Henry Christophe</w:t>
      </w:r>
      <w:r>
        <w:rPr>
          <w:rFonts w:ascii="Times New Roman" w:hAnsi="Times New Roman"/>
          <w:sz w:val="26"/>
          <w:szCs w:val="26"/>
          <w:rtl w:val="0"/>
          <w:lang w:val="en-US"/>
        </w:rPr>
        <w:t xml:space="preserve">.  Previously, she authored </w:t>
      </w:r>
      <w:r>
        <w:rPr>
          <w:rFonts w:ascii="Times New Roman" w:hAnsi="Times New Roman"/>
          <w:i w:val="1"/>
          <w:iCs w:val="1"/>
          <w:sz w:val="26"/>
          <w:szCs w:val="26"/>
          <w:rtl w:val="0"/>
          <w:lang w:val="en-US"/>
        </w:rPr>
        <w:t>Awakening the Ashes: An Intellectual History of the Haitian Revolution</w:t>
      </w:r>
      <w:r>
        <w:rPr>
          <w:rFonts w:ascii="Times New Roman" w:hAnsi="Times New Roman"/>
          <w:sz w:val="26"/>
          <w:szCs w:val="26"/>
          <w:rtl w:val="0"/>
          <w:lang w:val="en-US"/>
        </w:rPr>
        <w:t>, which co-won the Frederick Douglass Book Prize.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28" name="officeArt object" descr="Jean 1.jpg"/>
            <wp:cNvGraphicFramePr/>
            <a:graphic xmlns:a="http://schemas.openxmlformats.org/drawingml/2006/main">
              <a:graphicData uri="http://schemas.openxmlformats.org/drawingml/2006/picture">
                <pic:pic xmlns:pic="http://schemas.openxmlformats.org/drawingml/2006/picture">
                  <pic:nvPicPr>
                    <pic:cNvPr id="1073741828" name="Jean 1.jpg" descr="Jean 1.jpg"/>
                    <pic:cNvPicPr>
                      <a:picLocks noChangeAspect="1"/>
                    </pic:cNvPicPr>
                  </pic:nvPicPr>
                  <pic:blipFill>
                    <a:blip r:embed="rId7">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0"/>
          <w:bCs w:val="0"/>
          <w:sz w:val="32"/>
          <w:szCs w:val="32"/>
        </w:rPr>
      </w:pPr>
      <w:r>
        <w:rPr>
          <w:rFonts w:ascii="Times New Roman" w:hAnsi="Times New Roman"/>
          <w:b w:val="1"/>
          <w:bCs w:val="1"/>
          <w:sz w:val="32"/>
          <w:szCs w:val="32"/>
          <w:rtl w:val="0"/>
          <w:lang w:val="en-US"/>
        </w:rPr>
        <w:t>Dr. Jean Marie Th</w:t>
      </w:r>
      <w:r>
        <w:rPr>
          <w:rFonts w:ascii="Times New Roman" w:hAnsi="Times New Roman" w:hint="default"/>
          <w:b w:val="1"/>
          <w:bCs w:val="1"/>
          <w:sz w:val="32"/>
          <w:szCs w:val="32"/>
          <w:rtl w:val="0"/>
          <w:lang w:val="en-US"/>
        </w:rPr>
        <w:t>é</w:t>
      </w:r>
      <w:r>
        <w:rPr>
          <w:rFonts w:ascii="Times New Roman" w:hAnsi="Times New Roman"/>
          <w:b w:val="1"/>
          <w:bCs w:val="1"/>
          <w:sz w:val="32"/>
          <w:szCs w:val="32"/>
          <w:rtl w:val="0"/>
          <w:lang w:val="en-US"/>
        </w:rPr>
        <w:t>odat</w:t>
      </w:r>
      <w:r>
        <w:rPr>
          <w:rFonts w:ascii="Times New Roman" w:hAnsi="Times New Roman"/>
          <w:b w:val="0"/>
          <w:bCs w:val="0"/>
          <w:sz w:val="32"/>
          <w:szCs w:val="32"/>
          <w:rtl w:val="0"/>
          <w:lang w:val="en-US"/>
        </w:rPr>
        <w:t xml:space="preserve">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A geographer and professor at the University of Paris 1 Panth</w:t>
      </w:r>
      <w:r>
        <w:rPr>
          <w:rFonts w:ascii="Times New Roman" w:hAnsi="Times New Roman" w:hint="default"/>
          <w:sz w:val="26"/>
          <w:szCs w:val="26"/>
          <w:rtl w:val="0"/>
          <w:lang w:val="en-US"/>
        </w:rPr>
        <w:t>é</w:t>
      </w:r>
      <w:r>
        <w:rPr>
          <w:rFonts w:ascii="Times New Roman" w:hAnsi="Times New Roman"/>
          <w:sz w:val="26"/>
          <w:szCs w:val="26"/>
          <w:rtl w:val="0"/>
          <w:lang w:val="en-US"/>
        </w:rPr>
        <w:t>on-Sorbonne and the State University of Haiti. Holding a doctorate in geography, his research explores economic and cultural spaces, globalization, geopolitics, and regional studies of the Antilles, Caribbean, Haiti, and the Dominican Republic, with a focus on slavery, colonization, borders, and creolization.</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29" name="officeArt object" descr="Prof Jean.jpg"/>
            <wp:cNvGraphicFramePr/>
            <a:graphic xmlns:a="http://schemas.openxmlformats.org/drawingml/2006/main">
              <a:graphicData uri="http://schemas.openxmlformats.org/drawingml/2006/picture">
                <pic:pic xmlns:pic="http://schemas.openxmlformats.org/drawingml/2006/picture">
                  <pic:nvPicPr>
                    <pic:cNvPr id="1073741829" name="Prof Jean.jpg" descr="Prof Jean.jpg"/>
                    <pic:cNvPicPr>
                      <a:picLocks noChangeAspect="1"/>
                    </pic:cNvPicPr>
                  </pic:nvPicPr>
                  <pic:blipFill>
                    <a:blip r:embed="rId8">
                      <a:extLst/>
                    </a:blip>
                    <a:srcRect l="0" t="760" r="0" b="112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Professor</w:t>
      </w:r>
      <w:r>
        <w:rPr>
          <w:rFonts w:ascii="Times New Roman" w:hAnsi="Times New Roman"/>
          <w:b w:val="1"/>
          <w:bCs w:val="1"/>
          <w:sz w:val="32"/>
          <w:szCs w:val="32"/>
          <w:rtl w:val="0"/>
          <w:lang w:val="en-US"/>
        </w:rPr>
        <w:t xml:space="preserve"> Jean Casimir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b w:val="1"/>
          <w:bCs w:val="1"/>
          <w:sz w:val="26"/>
          <w:szCs w:val="26"/>
        </w:rPr>
      </w:pPr>
      <w:r>
        <w:rPr>
          <w:rFonts w:ascii="Times New Roman" w:hAnsi="Times New Roman"/>
          <w:sz w:val="26"/>
          <w:szCs w:val="26"/>
          <w:rtl w:val="0"/>
          <w:lang w:val="en-US"/>
        </w:rPr>
        <w:t>Professor at the Faculty of Human Sciences at the State University of Haiti with a doctorate in sociology from the National Autonomous University of Mexico, he served as an official at the Economic Commission for Latin America and the Caribbean (1975-1988), and as Haiti</w:t>
      </w:r>
      <w:r>
        <w:rPr>
          <w:rFonts w:ascii="Times New Roman" w:hAnsi="Times New Roman" w:hint="default"/>
          <w:sz w:val="26"/>
          <w:szCs w:val="26"/>
          <w:rtl w:val="0"/>
          <w:lang w:val="en-US"/>
        </w:rPr>
        <w:t>’</w:t>
      </w:r>
      <w:r>
        <w:rPr>
          <w:rFonts w:ascii="Times New Roman" w:hAnsi="Times New Roman"/>
          <w:sz w:val="26"/>
          <w:szCs w:val="26"/>
          <w:rtl w:val="0"/>
          <w:lang w:val="en-US"/>
        </w:rPr>
        <w:t>s Ambassador to the United States and Permanent Representative to the Organization of American States (1991</w:t>
      </w:r>
      <w:r>
        <w:rPr>
          <w:rFonts w:ascii="Times New Roman" w:hAnsi="Times New Roman" w:hint="default"/>
          <w:sz w:val="26"/>
          <w:szCs w:val="26"/>
          <w:rtl w:val="0"/>
          <w:lang w:val="en-US"/>
        </w:rPr>
        <w:t>–</w:t>
      </w:r>
      <w:r>
        <w:rPr>
          <w:rFonts w:ascii="Times New Roman" w:hAnsi="Times New Roman"/>
          <w:sz w:val="26"/>
          <w:szCs w:val="26"/>
          <w:rtl w:val="0"/>
          <w:lang w:val="en-US"/>
        </w:rPr>
        <w:t xml:space="preserve">1997). His major works include </w:t>
      </w:r>
      <w:r>
        <w:rPr>
          <w:rFonts w:ascii="Times New Roman" w:hAnsi="Times New Roman"/>
          <w:i w:val="1"/>
          <w:iCs w:val="1"/>
          <w:sz w:val="26"/>
          <w:szCs w:val="26"/>
          <w:rtl w:val="0"/>
          <w:lang w:val="en-US"/>
        </w:rPr>
        <w:t>The Oppressed Culture</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The Caribbean, United and Divisible</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A Decolonial Reading of Haitian History</w:t>
      </w:r>
      <w:r>
        <w:rPr>
          <w:rFonts w:ascii="Times New Roman" w:hAnsi="Times New Roman"/>
          <w:sz w:val="26"/>
          <w:szCs w:val="26"/>
          <w:rtl w:val="0"/>
          <w:lang w:val="en-US"/>
        </w:rPr>
        <w:t>.</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both"/>
        <w:rPr>
          <w:rFonts w:ascii="Times New Roman" w:cs="Times New Roman" w:hAnsi="Times New Roman" w:eastAsia="Times New Roman"/>
          <w:sz w:val="26"/>
          <w:szCs w:val="26"/>
        </w:rPr>
      </w:pPr>
      <w:r>
        <w:rPr>
          <w:rFonts w:ascii="Times New Roman" w:cs="Times New Roman" w:hAnsi="Times New Roman" w:eastAsia="Times New Roman"/>
          <w:sz w:val="26"/>
          <w:szCs w:val="26"/>
        </w:rPr>
        <w:drawing xmlns:a="http://schemas.openxmlformats.org/drawingml/2006/main">
          <wp:inline distT="0" distB="0" distL="0" distR="0">
            <wp:extent cx="2744984" cy="2693257"/>
            <wp:effectExtent l="0" t="0" r="0" b="0"/>
            <wp:docPr id="1073741830" name="officeArt object" descr="Robert Fatton Jr.jpg"/>
            <wp:cNvGraphicFramePr/>
            <a:graphic xmlns:a="http://schemas.openxmlformats.org/drawingml/2006/main">
              <a:graphicData uri="http://schemas.openxmlformats.org/drawingml/2006/picture">
                <pic:pic xmlns:pic="http://schemas.openxmlformats.org/drawingml/2006/picture">
                  <pic:nvPicPr>
                    <pic:cNvPr id="1073741830" name="Robert Fatton Jr.jpg" descr="Robert Fatton Jr.jpg"/>
                    <pic:cNvPicPr>
                      <a:picLocks noChangeAspect="1"/>
                    </pic:cNvPicPr>
                  </pic:nvPicPr>
                  <pic:blipFill>
                    <a:blip r:embed="rId9">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Professor Robert Fatton</w:t>
      </w:r>
      <w:r>
        <w:rPr>
          <w:rFonts w:ascii="Times New Roman" w:hAnsi="Times New Roman"/>
          <w:b w:val="1"/>
          <w:bCs w:val="1"/>
          <w:sz w:val="32"/>
          <w:szCs w:val="32"/>
          <w:rtl w:val="0"/>
          <w:lang w:val="en-US"/>
        </w:rPr>
        <w:t xml:space="preserve"> Jr.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Robert Fatton Jr. is Ambassador Henry J. Taylor and Mrs. Marion R. Taylor Emeritus Professor of Politics at the University of Virginia. He served as chair of the Department of Politics (1997-2004) and Associate Dean of the Graduate School (2010-2012). His numerous publications on Haiti include </w:t>
      </w:r>
      <w:r>
        <w:rPr>
          <w:rFonts w:ascii="Times New Roman" w:hAnsi="Times New Roman"/>
          <w:i w:val="1"/>
          <w:iCs w:val="1"/>
          <w:sz w:val="26"/>
          <w:szCs w:val="26"/>
          <w:rtl w:val="0"/>
          <w:lang w:val="en-US"/>
        </w:rPr>
        <w:t>Haiti: Trapped in the Outer Periphery,</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The Guise of Exceptionalism: Unmasking the National Narratives of Haiti and the United States</w:t>
      </w:r>
      <w:r>
        <w:rPr>
          <w:rFonts w:ascii="Times New Roman" w:hAnsi="Times New Roman"/>
          <w:sz w:val="26"/>
          <w:szCs w:val="26"/>
          <w:rtl w:val="0"/>
          <w:lang w:val="en-US"/>
        </w:rPr>
        <w:t>. The Haitian Studies Association presented him its awards</w:t>
      </w:r>
      <w:r>
        <w:rPr>
          <w:rFonts w:ascii="Times New Roman" w:hAnsi="Times New Roman"/>
          <w:i w:val="1"/>
          <w:iCs w:val="1"/>
          <w:sz w:val="26"/>
          <w:szCs w:val="26"/>
          <w:rtl w:val="0"/>
          <w:lang w:val="en-US"/>
        </w:rPr>
        <w:t xml:space="preserve"> of Excellence</w:t>
      </w:r>
      <w:r>
        <w:rPr>
          <w:rFonts w:ascii="Times New Roman" w:hAnsi="Times New Roman"/>
          <w:sz w:val="26"/>
          <w:szCs w:val="26"/>
          <w:rtl w:val="0"/>
          <w:lang w:val="en-US"/>
        </w:rPr>
        <w:t>,</w:t>
      </w:r>
      <w:r>
        <w:rPr>
          <w:rFonts w:ascii="Times New Roman" w:hAnsi="Times New Roman" w:hint="default"/>
          <w:sz w:val="26"/>
          <w:szCs w:val="26"/>
          <w:rtl w:val="0"/>
          <w:lang w:val="en-US"/>
        </w:rPr>
        <w:t> </w:t>
      </w:r>
      <w:r>
        <w:rPr>
          <w:rFonts w:ascii="Times New Roman" w:hAnsi="Times New Roman"/>
          <w:sz w:val="26"/>
          <w:szCs w:val="26"/>
          <w:rtl w:val="0"/>
          <w:lang w:val="en-US"/>
        </w:rPr>
        <w:t xml:space="preserve">and of </w:t>
      </w:r>
      <w:r>
        <w:rPr>
          <w:rFonts w:ascii="Times New Roman" w:hAnsi="Times New Roman"/>
          <w:i w:val="1"/>
          <w:iCs w:val="1"/>
          <w:sz w:val="26"/>
          <w:szCs w:val="26"/>
          <w:rtl w:val="0"/>
          <w:lang w:val="en-US"/>
        </w:rPr>
        <w:t>Lifetime Achievement</w:t>
      </w:r>
      <w:r>
        <w:rPr>
          <w:rFonts w:ascii="Times New Roman" w:hAnsi="Times New Roman"/>
          <w:sz w:val="26"/>
          <w:szCs w:val="26"/>
          <w:rtl w:val="0"/>
          <w:lang w:val="en-US"/>
        </w:rPr>
        <w:t>.</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New Roman" w:cs="Times New Roman" w:hAnsi="Times New Roman" w:eastAsia="Times New Roman"/>
          <w:sz w:val="26"/>
          <w:szCs w:val="2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r>
        <w:rPr>
          <w:rFonts w:ascii="Times Roman" w:hAnsi="Times Roman"/>
          <w:b w:val="1"/>
          <w:bCs w:val="1"/>
          <w:sz w:val="36"/>
          <w:szCs w:val="36"/>
          <w:rtl w:val="0"/>
          <w:lang w:val="it-IT"/>
        </w:rPr>
        <w:t>Mod</w:t>
      </w:r>
      <w:r>
        <w:rPr>
          <w:rFonts w:ascii="Times Roman" w:hAnsi="Times Roman" w:hint="default"/>
          <w:b w:val="1"/>
          <w:bCs w:val="1"/>
          <w:sz w:val="36"/>
          <w:szCs w:val="36"/>
          <w:rtl w:val="0"/>
          <w:lang w:val="it-IT"/>
        </w:rPr>
        <w:t>é</w:t>
      </w:r>
      <w:r>
        <w:rPr>
          <w:rFonts w:ascii="Times Roman" w:hAnsi="Times Roman"/>
          <w:b w:val="1"/>
          <w:bCs w:val="1"/>
          <w:sz w:val="36"/>
          <w:szCs w:val="36"/>
          <w:rtl w:val="0"/>
          <w:lang w:val="it-IT"/>
        </w:rPr>
        <w:t>rateurs:</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b w:val="1"/>
          <w:bCs w:val="1"/>
          <w:sz w:val="26"/>
          <w:szCs w:val="26"/>
        </w:rPr>
        <w:drawing xmlns:a="http://schemas.openxmlformats.org/drawingml/2006/main">
          <wp:inline distT="0" distB="0" distL="0" distR="0">
            <wp:extent cx="2744984" cy="2693257"/>
            <wp:effectExtent l="0" t="0" r="0" b="0"/>
            <wp:docPr id="1073741831" name="officeArt object" descr="Frantz.jpg"/>
            <wp:cNvGraphicFramePr/>
            <a:graphic xmlns:a="http://schemas.openxmlformats.org/drawingml/2006/main">
              <a:graphicData uri="http://schemas.openxmlformats.org/drawingml/2006/picture">
                <pic:pic xmlns:pic="http://schemas.openxmlformats.org/drawingml/2006/picture">
                  <pic:nvPicPr>
                    <pic:cNvPr id="1073741831" name="Frantz.jpg" descr="Frantz.jpg"/>
                    <pic:cNvPicPr>
                      <a:picLocks noChangeAspect="1"/>
                    </pic:cNvPicPr>
                  </pic:nvPicPr>
                  <pic:blipFill>
                    <a:blip r:embed="rId10">
                      <a:extLst/>
                    </a:blip>
                    <a:srcRect l="0" t="0" r="0" b="1884"/>
                    <a:stretch>
                      <a:fillRect/>
                    </a:stretch>
                  </pic:blipFill>
                  <pic:spPr>
                    <a:xfrm>
                      <a:off x="0" y="0"/>
                      <a:ext cx="2744984" cy="2693257"/>
                    </a:xfrm>
                    <a:prstGeom prst="rect">
                      <a:avLst/>
                    </a:prstGeom>
                    <a:ln w="12700" cap="flat">
                      <a:noFill/>
                      <a:miter lim="400000"/>
                    </a:ln>
                    <a:effectLst/>
                  </pic:spPr>
                </pic:pic>
              </a:graphicData>
            </a:graphic>
          </wp:inline>
        </w:drawing>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32"/>
          <w:szCs w:val="32"/>
        </w:rPr>
      </w:pPr>
      <w:r>
        <w:rPr>
          <w:rFonts w:ascii="Times New Roman" w:hAnsi="Times New Roman"/>
          <w:b w:val="1"/>
          <w:bCs w:val="1"/>
          <w:sz w:val="32"/>
          <w:szCs w:val="32"/>
          <w:rtl w:val="0"/>
          <w:lang w:val="en-US"/>
        </w:rPr>
        <w:t>Frantz Voltaire</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rPr>
          <w:rFonts w:ascii="Times New Roman" w:cs="Times New Roman" w:hAnsi="Times New Roman" w:eastAsia="Times New Roman"/>
          <w:b w:val="1"/>
          <w:bCs w:val="1"/>
          <w:sz w:val="26"/>
          <w:szCs w:val="26"/>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rPr>
          <w:rFonts w:ascii="Times New Roman" w:cs="Times New Roman" w:hAnsi="Times New Roman" w:eastAsia="Times New Roman"/>
          <w:sz w:val="26"/>
          <w:szCs w:val="26"/>
        </w:rPr>
      </w:pPr>
      <w:r>
        <w:rPr>
          <w:rFonts w:ascii="Times New Roman" w:hAnsi="Times New Roman"/>
          <w:sz w:val="26"/>
          <w:szCs w:val="26"/>
          <w:rtl w:val="0"/>
          <w:lang w:val="en-US"/>
        </w:rPr>
        <w:t xml:space="preserve">A Haitian scholar, filmmaker, and author who has taught at universities in Chile, Mexico, Haiti, and Canada. He has directed and produced acclaimed documentaries such as </w:t>
      </w:r>
      <w:r>
        <w:rPr>
          <w:rFonts w:ascii="Times New Roman" w:hAnsi="Times New Roman"/>
          <w:i w:val="1"/>
          <w:iCs w:val="1"/>
          <w:sz w:val="26"/>
          <w:szCs w:val="26"/>
          <w:rtl w:val="0"/>
          <w:lang w:val="en-US"/>
        </w:rPr>
        <w:t>The Paths of Memory</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Port-au-Prince, My City</w:t>
      </w:r>
      <w:r>
        <w:rPr>
          <w:rFonts w:ascii="Times New Roman" w:hAnsi="Times New Roman"/>
          <w:sz w:val="26"/>
          <w:szCs w:val="26"/>
          <w:rtl w:val="0"/>
          <w:lang w:val="en-US"/>
        </w:rPr>
        <w:t xml:space="preserve">, </w:t>
      </w:r>
      <w:r>
        <w:rPr>
          <w:rFonts w:ascii="Times New Roman" w:hAnsi="Times New Roman"/>
          <w:i w:val="1"/>
          <w:iCs w:val="1"/>
          <w:sz w:val="26"/>
          <w:szCs w:val="26"/>
          <w:rtl w:val="0"/>
          <w:lang w:val="en-US"/>
        </w:rPr>
        <w:t>Maestro Issa</w:t>
      </w:r>
      <w:r>
        <w:rPr>
          <w:rFonts w:ascii="Times New Roman" w:hAnsi="Times New Roman"/>
          <w:sz w:val="26"/>
          <w:szCs w:val="26"/>
          <w:rtl w:val="0"/>
          <w:lang w:val="en-US"/>
        </w:rPr>
        <w:t xml:space="preserve">, and </w:t>
      </w:r>
      <w:r>
        <w:rPr>
          <w:rFonts w:ascii="Times New Roman" w:hAnsi="Times New Roman"/>
          <w:i w:val="1"/>
          <w:iCs w:val="1"/>
          <w:sz w:val="26"/>
          <w:szCs w:val="26"/>
          <w:rtl w:val="0"/>
          <w:lang w:val="en-US"/>
        </w:rPr>
        <w:t>A History of Banking in Haiti</w:t>
      </w:r>
      <w:r>
        <w:rPr>
          <w:rFonts w:ascii="Times New Roman" w:hAnsi="Times New Roman"/>
          <w:sz w:val="26"/>
          <w:szCs w:val="26"/>
          <w:rtl w:val="0"/>
          <w:lang w:val="en-US"/>
        </w:rPr>
        <w:t xml:space="preserve">. Founder of </w:t>
      </w:r>
      <w:r>
        <w:rPr>
          <w:rFonts w:ascii="Times New Roman" w:hAnsi="Times New Roman" w:hint="default"/>
          <w:sz w:val="26"/>
          <w:szCs w:val="26"/>
          <w:rtl w:val="0"/>
          <w:lang w:val="en-US"/>
        </w:rPr>
        <w:t>É</w:t>
      </w:r>
      <w:r>
        <w:rPr>
          <w:rFonts w:ascii="Times New Roman" w:hAnsi="Times New Roman"/>
          <w:sz w:val="26"/>
          <w:szCs w:val="26"/>
          <w:rtl w:val="0"/>
          <w:lang w:val="en-US"/>
        </w:rPr>
        <w:t>ditions du Cidihca, he is widely recognized for his contributions to Caribbean history, culture, and diaspora studies.</w:t>
      </w:r>
      <w:r>
        <w:rPr>
          <w:rFonts w:ascii="Times New Roman" w:hAnsi="Times New Roman" w:hint="default"/>
          <w:sz w:val="26"/>
          <w:szCs w:val="26"/>
          <w:rtl w:val="0"/>
          <w:lang w:val="en-US"/>
        </w:rPr>
        <w:t>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Fonts w:ascii="Times Roman" w:cs="Times Roman" w:hAnsi="Times Roman" w:eastAsia="Times Roman"/>
          <w:b w:val="1"/>
          <w:bCs w:val="1"/>
          <w:sz w:val="36"/>
          <w:szCs w:val="36"/>
          <w:lang w:val="it-IT"/>
        </w:rPr>
      </w:pP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lang w:val="it-IT"/>
        </w:rPr>
      </w:pPr>
      <w:r>
        <w:rPr>
          <w:lang w:val="it-IT"/>
        </w:rPr>
        <w:drawing xmlns:a="http://schemas.openxmlformats.org/drawingml/2006/main">
          <wp:inline distT="0" distB="0" distL="0" distR="0">
            <wp:extent cx="2744984" cy="2693257"/>
            <wp:effectExtent l="0" t="0" r="0" b="0"/>
            <wp:docPr id="1073741832" name="officeArt object" descr="1.jpg"/>
            <wp:cNvGraphicFramePr/>
            <a:graphic xmlns:a="http://schemas.openxmlformats.org/drawingml/2006/main">
              <a:graphicData uri="http://schemas.openxmlformats.org/drawingml/2006/picture">
                <pic:pic xmlns:pic="http://schemas.openxmlformats.org/drawingml/2006/picture">
                  <pic:nvPicPr>
                    <pic:cNvPr id="1073741832" name="1.jpg" descr="1.jpg"/>
                    <pic:cNvPicPr>
                      <a:picLocks noChangeAspect="1"/>
                    </pic:cNvPicPr>
                  </pic:nvPicPr>
                  <pic:blipFill>
                    <a:blip r:embed="rId11">
                      <a:extLst/>
                    </a:blip>
                    <a:srcRect l="0" t="1884" r="0" b="0"/>
                    <a:stretch>
                      <a:fillRect/>
                    </a:stretch>
                  </pic:blipFill>
                  <pic:spPr>
                    <a:xfrm>
                      <a:off x="0" y="0"/>
                      <a:ext cx="2744984" cy="2693257"/>
                    </a:xfrm>
                    <a:prstGeom prst="rect">
                      <a:avLst/>
                    </a:prstGeom>
                    <a:ln w="12700" cap="flat">
                      <a:noFill/>
                      <a:miter lim="400000"/>
                    </a:ln>
                    <a:effectLst/>
                  </pic:spPr>
                </pic:pic>
              </a:graphicData>
            </a:graphic>
          </wp:inline>
        </w:drawing>
      </w:r>
    </w:p>
    <w:p>
      <w:pPr>
        <w:pStyle w:val="Body A"/>
        <w:jc w:val="both"/>
        <w:rPr>
          <w:lang w:val="it-IT"/>
        </w:rPr>
      </w:pPr>
    </w:p>
    <w:p>
      <w:pPr>
        <w:pStyle w:val="Body A"/>
        <w:spacing w:after="240"/>
        <w:jc w:val="both"/>
        <w:rPr>
          <w:rFonts w:ascii="Times Roman" w:cs="Times Roman" w:hAnsi="Times Roman" w:eastAsia="Times Roman"/>
          <w:b w:val="1"/>
          <w:bCs w:val="1"/>
          <w:sz w:val="32"/>
          <w:szCs w:val="32"/>
          <w:lang w:val="it-IT"/>
        </w:rPr>
      </w:pPr>
      <w:r>
        <w:rPr>
          <w:rFonts w:ascii="Times Roman" w:hAnsi="Times Roman"/>
          <w:b w:val="1"/>
          <w:bCs w:val="1"/>
          <w:sz w:val="32"/>
          <w:szCs w:val="32"/>
          <w:rtl w:val="0"/>
          <w:lang w:val="it-IT"/>
        </w:rPr>
        <w:t>Dr. Yael Danieli</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uppressAutoHyphens w:val="1"/>
        <w:spacing w:before="0" w:line="240" w:lineRule="auto"/>
        <w:jc w:val="both"/>
      </w:pPr>
      <w:r>
        <w:rPr>
          <w:rFonts w:ascii="Times New Roman" w:hAnsi="Times New Roman"/>
          <w:sz w:val="26"/>
          <w:szCs w:val="26"/>
          <w:rtl w:val="0"/>
          <w:lang w:val="en-US"/>
        </w:rPr>
        <w:t>A Clinical psychologist, traumatologist, victimologist and psychohistorian, Dr. Danieli is Founder, Executive Director and Senior Representative to the United Nations of the International Center for MultiGenerational Legacies of Trauma (ICMGLT); Director, Group Project for Holocaust Survivors and their Children and Past-President, International Society for Traumatic Stress Studies.</w:t>
      </w:r>
    </w:p>
    <w:sectPr>
      <w:headerReference w:type="default" r:id="rId12"/>
      <w:footerReference w:type="default" r:id="rId13"/>
      <w:pgSz w:w="12240" w:h="15840" w:orient="portrait"/>
      <w:pgMar w:top="1440" w:right="1440" w:bottom="1440" w:left="1440" w:header="720" w:footer="864"/>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fr-FR"/>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